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contextualSpacing w:val="0"/>
        <w:jc w:val="center"/>
      </w:pPr>
      <w:bookmarkStart w:colFirst="0" w:colLast="0" w:name="h.urzu9t5bhpq5" w:id="0"/>
      <w:bookmarkEnd w:id="0"/>
      <w:r w:rsidDel="00000000" w:rsidR="00000000" w:rsidRPr="00000000">
        <w:rPr>
          <w:rtl w:val="0"/>
        </w:rPr>
        <w:t xml:space="preserve">PLIS - verzionovanie databázy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9x3mc2fmovpg" w:id="1"/>
      <w:bookmarkEnd w:id="1"/>
      <w:r w:rsidDel="00000000" w:rsidR="00000000" w:rsidRPr="00000000">
        <w:rPr>
          <w:rtl w:val="0"/>
        </w:rPr>
        <w:t xml:space="preserve">Podmienky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Každý vývojár pracuje nad vlastnou kópiou databázy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Nikto nespúšťa skripty ani nemení databáziu, nad ktorou beží plis.sk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Každá zmena databázy je uložená v sql súbore uloženom v SVN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Každý sql subor má tvar XXXX.sql, kde XXXX je číslo začínajúce od 1, pričom je doplnené úvodnými nulami, ak je potrebné na 4 znaky, čiže napríklad 0001.sql, 0002.sql.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Všetky sql scripty sú uložené v jednom adresári.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Každé číslo sa smie použiť iba raz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Staré skripty sa meniť nesmú, lebo sa už nikdy nespustia.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 databáze je uložený zoznam jej spustených updatov, najvyššie číslo zmenená verziu databázy.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ye65d4vbskyd" w:id="2"/>
      <w:bookmarkEnd w:id="2"/>
      <w:r w:rsidDel="00000000" w:rsidR="00000000" w:rsidRPr="00000000">
        <w:rPr>
          <w:rtl w:val="0"/>
        </w:rPr>
        <w:t xml:space="preserve">Proces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 spustení metódy na skontroluje verzia databázy a to, čo v adresári obsahujúcom sql scripty nie sú scripty s vyššími verziami.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Ak nie, proces je ukončený.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Ak áno, spustia sa vo vzostupnom poradí automaticky po jednom.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Ak je chyba vo vykonávaní scriptu, je o tom záznam do tabulky verzií.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Pri začiatku spustenia sa do databázy pridá zíznam o danom scripte, po skončení sa pridá jeho čas ukončenia a prípadne chyba ak nejaká nastala.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Ak nastane chyba, proces sa ukončí, nepokračuje sa na ďalšie scripty a používateľ je o tom informovaný aby danú vec vyriešil.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contextualSpacing w:val="0"/>
      </w:pPr>
      <w:bookmarkStart w:colFirst="0" w:colLast="0" w:name="h.ljcmuyc6xt85" w:id="3"/>
      <w:bookmarkEnd w:id="3"/>
      <w:r w:rsidDel="00000000" w:rsidR="00000000" w:rsidRPr="00000000">
        <w:rPr>
          <w:rtl w:val="0"/>
        </w:rPr>
        <w:t xml:space="preserve">Štruktúra DB tabuľky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create table VersionHistory (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   Version int primary key,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   UpgradeStart datetime not null,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   UpgradeEnd datetime,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   Errors nvarchar(256)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